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DE56" w14:textId="77777777" w:rsidR="00A26185" w:rsidRDefault="00A26185" w:rsidP="0065345D">
      <w:pPr>
        <w:ind w:left="0"/>
        <w:jc w:val="center"/>
        <w:rPr>
          <w:rFonts w:ascii="VAG Rounded Std Thin" w:eastAsia="Times New Roman" w:hAnsi="VAG Rounded Std Thin" w:cs="Segoe UI"/>
          <w:b/>
          <w:bCs/>
          <w:sz w:val="20"/>
          <w:szCs w:val="20"/>
          <w:u w:val="single"/>
        </w:rPr>
      </w:pPr>
    </w:p>
    <w:p w14:paraId="2AA0DDA3" w14:textId="77777777" w:rsidR="00A26185" w:rsidRDefault="00A26185" w:rsidP="0065345D">
      <w:pPr>
        <w:ind w:left="0"/>
        <w:jc w:val="center"/>
        <w:rPr>
          <w:rFonts w:ascii="VAG Rounded Std Thin" w:eastAsia="Times New Roman" w:hAnsi="VAG Rounded Std Thin" w:cs="Segoe UI"/>
          <w:b/>
          <w:bCs/>
          <w:sz w:val="20"/>
          <w:szCs w:val="20"/>
          <w:u w:val="single"/>
        </w:rPr>
      </w:pPr>
    </w:p>
    <w:p w14:paraId="054A15E8" w14:textId="13805B02" w:rsidR="0065345D" w:rsidRPr="00A26185" w:rsidRDefault="00A26185" w:rsidP="00A26185">
      <w:pPr>
        <w:ind w:left="0"/>
        <w:jc w:val="center"/>
        <w:rPr>
          <w:rFonts w:ascii="VAG Rounded Std Thin" w:eastAsia="Times New Roman" w:hAnsi="VAG Rounded Std Thin" w:cs="Segoe UI"/>
          <w:b/>
          <w:bCs/>
          <w:sz w:val="20"/>
          <w:szCs w:val="20"/>
        </w:rPr>
      </w:pPr>
      <w:r>
        <w:rPr>
          <w:rFonts w:ascii="VAG Rounded Std Thin" w:eastAsia="Times New Roman" w:hAnsi="VAG Rounded Std Thin" w:cs="Segoe UI"/>
          <w:b/>
          <w:bCs/>
          <w:sz w:val="20"/>
          <w:szCs w:val="20"/>
        </w:rPr>
        <w:br/>
      </w:r>
      <w:r w:rsidRPr="0065345D">
        <w:rPr>
          <w:rFonts w:ascii="VAG Rounded Std Thin" w:eastAsia="Times New Roman" w:hAnsi="VAG Rounded Std Thin" w:cs="Segoe UI"/>
          <w:b/>
          <w:bCs/>
          <w:sz w:val="20"/>
          <w:szCs w:val="20"/>
          <w:u w:val="single"/>
        </w:rPr>
        <w:t>Annexure</w:t>
      </w:r>
      <w:r>
        <w:rPr>
          <w:rFonts w:ascii="VAG Rounded Std Thin" w:eastAsia="Times New Roman" w:hAnsi="VAG Rounded Std Thin" w:cs="Segoe UI"/>
          <w:b/>
          <w:bCs/>
          <w:sz w:val="20"/>
          <w:szCs w:val="20"/>
          <w:u w:val="single"/>
        </w:rPr>
        <w:t xml:space="preserve"> X</w:t>
      </w:r>
    </w:p>
    <w:p w14:paraId="06371504" w14:textId="77777777" w:rsidR="0065345D" w:rsidRPr="0065345D" w:rsidRDefault="0065345D" w:rsidP="0065345D">
      <w:pPr>
        <w:ind w:left="0"/>
        <w:rPr>
          <w:rFonts w:ascii="VAG Rounded Std Thin" w:eastAsia="Times New Roman" w:hAnsi="VAG Rounded Std Thin" w:cs="Segoe UI"/>
          <w:sz w:val="20"/>
          <w:szCs w:val="20"/>
          <w:u w:val="single"/>
        </w:rPr>
      </w:pPr>
    </w:p>
    <w:p w14:paraId="5B245D87" w14:textId="590032B0" w:rsidR="0065345D" w:rsidRDefault="0065345D" w:rsidP="0065345D">
      <w:pPr>
        <w:pStyle w:val="NoSpacing"/>
        <w:rPr>
          <w:rFonts w:ascii="VAG Rounded Std Thin" w:hAnsi="VAG Rounded Std Thin" w:cs="Arial"/>
          <w:b/>
          <w:bCs/>
          <w:sz w:val="20"/>
          <w:szCs w:val="20"/>
        </w:rPr>
      </w:pPr>
      <w:r w:rsidRPr="0065345D">
        <w:rPr>
          <w:rFonts w:ascii="VAG Rounded Std Thin" w:hAnsi="VAG Rounded Std Thin" w:cs="Arial"/>
          <w:b/>
          <w:bCs/>
          <w:sz w:val="20"/>
          <w:szCs w:val="20"/>
        </w:rPr>
        <w:t xml:space="preserve">Knockout Conditions – Upfront Rejections </w:t>
      </w:r>
    </w:p>
    <w:p w14:paraId="77A577B4" w14:textId="77777777" w:rsidR="00A26185" w:rsidRDefault="00A26185" w:rsidP="0065345D">
      <w:pPr>
        <w:pStyle w:val="NoSpacing"/>
        <w:rPr>
          <w:rFonts w:ascii="VAG Rounded Std Thin" w:hAnsi="VAG Rounded Std Thin" w:cs="Arial"/>
          <w:b/>
          <w:bCs/>
          <w:sz w:val="20"/>
          <w:szCs w:val="20"/>
        </w:rPr>
      </w:pPr>
    </w:p>
    <w:p w14:paraId="626F7DAB" w14:textId="0BE23A3D" w:rsidR="00A26185" w:rsidRDefault="00A26185" w:rsidP="0065345D">
      <w:pPr>
        <w:pStyle w:val="NoSpacing"/>
        <w:rPr>
          <w:rFonts w:ascii="VAG Rounded Std Thin" w:hAnsi="VAG Rounded Std Thin" w:cs="Arial"/>
          <w:b/>
          <w:bCs/>
          <w:i/>
          <w:iCs/>
          <w:sz w:val="20"/>
          <w:szCs w:val="20"/>
        </w:rPr>
      </w:pPr>
      <w:r w:rsidRPr="00A26185">
        <w:rPr>
          <w:rFonts w:ascii="VAG Rounded Std Thin" w:hAnsi="VAG Rounded Std Thin" w:cs="Arial"/>
          <w:b/>
          <w:bCs/>
          <w:i/>
          <w:iCs/>
          <w:sz w:val="20"/>
          <w:szCs w:val="20"/>
        </w:rPr>
        <w:t>Warranted that declaration of any Pre-existing Condition, using words / terms which mean any disease/illness which are same or similar to knockout list (As per Annexure X), will render this policy null and Void-ab-initio and the Company shall have no liability under the policy.</w:t>
      </w:r>
    </w:p>
    <w:p w14:paraId="1D24F1E4" w14:textId="77777777" w:rsidR="0065345D" w:rsidRPr="0065345D" w:rsidRDefault="0065345D" w:rsidP="0065345D">
      <w:pPr>
        <w:rPr>
          <w:rFonts w:ascii="VAG Rounded Std Thin" w:hAnsi="VAG Rounded Std Thin"/>
          <w:sz w:val="20"/>
          <w:szCs w:val="20"/>
        </w:rPr>
      </w:pPr>
    </w:p>
    <w:tbl>
      <w:tblPr>
        <w:tblW w:w="9214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48"/>
        <w:gridCol w:w="2528"/>
        <w:gridCol w:w="2269"/>
        <w:gridCol w:w="1969"/>
      </w:tblGrid>
      <w:tr w:rsidR="0065345D" w:rsidRPr="0065345D" w14:paraId="1FB31F41" w14:textId="77777777" w:rsidTr="0065345D">
        <w:trPr>
          <w:trHeight w:val="394"/>
        </w:trPr>
        <w:tc>
          <w:tcPr>
            <w:tcW w:w="2448" w:type="dxa"/>
            <w:vAlign w:val="center"/>
            <w:hideMark/>
          </w:tcPr>
          <w:p w14:paraId="2D60763F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Stroke</w:t>
            </w:r>
          </w:p>
        </w:tc>
        <w:tc>
          <w:tcPr>
            <w:tcW w:w="2528" w:type="dxa"/>
            <w:vAlign w:val="center"/>
            <w:hideMark/>
          </w:tcPr>
          <w:p w14:paraId="68A50E20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Paralysis</w:t>
            </w:r>
          </w:p>
        </w:tc>
        <w:tc>
          <w:tcPr>
            <w:tcW w:w="2269" w:type="dxa"/>
            <w:vAlign w:val="center"/>
            <w:hideMark/>
          </w:tcPr>
          <w:p w14:paraId="1F1BC728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Any Cirrhosis of liver, Oesophageal Varises and Fibrosis</w:t>
            </w:r>
          </w:p>
        </w:tc>
        <w:tc>
          <w:tcPr>
            <w:tcW w:w="1969" w:type="dxa"/>
            <w:vAlign w:val="center"/>
            <w:hideMark/>
          </w:tcPr>
          <w:p w14:paraId="07B401BB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Alcoholic liver disease</w:t>
            </w:r>
          </w:p>
        </w:tc>
      </w:tr>
      <w:tr w:rsidR="0065345D" w:rsidRPr="0065345D" w14:paraId="7E1DA72B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35C2BC8F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Cancer or any type of malignancy</w:t>
            </w:r>
          </w:p>
        </w:tc>
        <w:tc>
          <w:tcPr>
            <w:tcW w:w="2528" w:type="dxa"/>
            <w:vAlign w:val="center"/>
            <w:hideMark/>
          </w:tcPr>
          <w:p w14:paraId="0AC8796B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Heart Disease/ Severe Heart Attack (Myocardial Infarction)</w:t>
            </w:r>
          </w:p>
        </w:tc>
        <w:tc>
          <w:tcPr>
            <w:tcW w:w="2269" w:type="dxa"/>
            <w:vAlign w:val="center"/>
            <w:hideMark/>
          </w:tcPr>
          <w:p w14:paraId="47E6AB94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Angioplasty</w:t>
            </w:r>
          </w:p>
        </w:tc>
        <w:tc>
          <w:tcPr>
            <w:tcW w:w="1969" w:type="dxa"/>
            <w:vAlign w:val="center"/>
            <w:hideMark/>
          </w:tcPr>
          <w:p w14:paraId="77511EF5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Thalassemia</w:t>
            </w:r>
          </w:p>
        </w:tc>
      </w:tr>
      <w:tr w:rsidR="0065345D" w:rsidRPr="0065345D" w14:paraId="4DAC7DD4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52A31AB9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Avascular Necrosis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  <w:hideMark/>
          </w:tcPr>
          <w:p w14:paraId="56452005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Coronary By Pass</w:t>
            </w:r>
          </w:p>
        </w:tc>
        <w:tc>
          <w:tcPr>
            <w:tcW w:w="2269" w:type="dxa"/>
            <w:vAlign w:val="center"/>
            <w:hideMark/>
          </w:tcPr>
          <w:p w14:paraId="34EA407A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Heart Valve Replacement</w:t>
            </w:r>
          </w:p>
        </w:tc>
        <w:tc>
          <w:tcPr>
            <w:tcW w:w="1969" w:type="dxa"/>
            <w:vAlign w:val="center"/>
            <w:hideMark/>
          </w:tcPr>
          <w:p w14:paraId="19B847F0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Coronary Artery Disease</w:t>
            </w:r>
          </w:p>
        </w:tc>
      </w:tr>
      <w:tr w:rsidR="0065345D" w:rsidRPr="0065345D" w14:paraId="40110C1F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6D641E55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Acute/ Chronic Pancreatitis and Congenital conditions of pancreas</w:t>
            </w:r>
          </w:p>
        </w:tc>
        <w:tc>
          <w:tcPr>
            <w:tcW w:w="2528" w:type="dxa"/>
            <w:vAlign w:val="center"/>
            <w:hideMark/>
          </w:tcPr>
          <w:p w14:paraId="34EC876F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Crohn’s disease</w:t>
            </w:r>
          </w:p>
        </w:tc>
        <w:tc>
          <w:tcPr>
            <w:tcW w:w="2269" w:type="dxa"/>
            <w:vAlign w:val="center"/>
            <w:hideMark/>
          </w:tcPr>
          <w:p w14:paraId="71147E2B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Dialysis</w:t>
            </w:r>
          </w:p>
        </w:tc>
        <w:tc>
          <w:tcPr>
            <w:tcW w:w="1969" w:type="dxa"/>
            <w:vAlign w:val="center"/>
            <w:hideMark/>
          </w:tcPr>
          <w:p w14:paraId="3A393773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Chronic Renal failure</w:t>
            </w:r>
          </w:p>
        </w:tc>
      </w:tr>
      <w:tr w:rsidR="0065345D" w:rsidRPr="0065345D" w14:paraId="26C8B0E5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690AD6D4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Papulosquamous disorder of skin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  <w:hideMark/>
          </w:tcPr>
          <w:p w14:paraId="5FE06D7D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Alzheimer’s Disease</w:t>
            </w:r>
          </w:p>
        </w:tc>
        <w:tc>
          <w:tcPr>
            <w:tcW w:w="2269" w:type="dxa"/>
            <w:vAlign w:val="center"/>
            <w:hideMark/>
          </w:tcPr>
          <w:p w14:paraId="3FD53285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Ankylosing Spondylitis</w:t>
            </w:r>
          </w:p>
        </w:tc>
        <w:tc>
          <w:tcPr>
            <w:tcW w:w="1969" w:type="dxa"/>
            <w:vAlign w:val="center"/>
            <w:hideMark/>
          </w:tcPr>
          <w:p w14:paraId="70FFF78C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Down’s syndrome</w:t>
            </w:r>
          </w:p>
        </w:tc>
      </w:tr>
      <w:tr w:rsidR="0065345D" w:rsidRPr="0065345D" w14:paraId="5FFEBBCA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7C36FE8E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Multiple Sclerosis</w:t>
            </w:r>
          </w:p>
        </w:tc>
        <w:tc>
          <w:tcPr>
            <w:tcW w:w="2528" w:type="dxa"/>
            <w:vAlign w:val="center"/>
            <w:hideMark/>
          </w:tcPr>
          <w:p w14:paraId="64D084B8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Muscular Dystrophy</w:t>
            </w:r>
          </w:p>
        </w:tc>
        <w:tc>
          <w:tcPr>
            <w:tcW w:w="2269" w:type="dxa"/>
            <w:vAlign w:val="center"/>
            <w:hideMark/>
          </w:tcPr>
          <w:p w14:paraId="2E807FDB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Autism</w:t>
            </w:r>
          </w:p>
        </w:tc>
        <w:tc>
          <w:tcPr>
            <w:tcW w:w="1969" w:type="dxa"/>
            <w:vAlign w:val="center"/>
            <w:hideMark/>
          </w:tcPr>
          <w:p w14:paraId="12B5B573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Pacemaker implantation</w:t>
            </w:r>
          </w:p>
        </w:tc>
      </w:tr>
      <w:tr w:rsidR="0065345D" w:rsidRPr="0065345D" w14:paraId="20471CD9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4A772B5E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Cerebral Palsy</w:t>
            </w:r>
          </w:p>
        </w:tc>
        <w:tc>
          <w:tcPr>
            <w:tcW w:w="2528" w:type="dxa"/>
            <w:vAlign w:val="center"/>
            <w:hideMark/>
          </w:tcPr>
          <w:p w14:paraId="58C7A012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Chronic Obstructive Pulmonary Disease</w:t>
            </w:r>
          </w:p>
        </w:tc>
        <w:tc>
          <w:tcPr>
            <w:tcW w:w="2269" w:type="dxa"/>
            <w:vAlign w:val="center"/>
            <w:hideMark/>
          </w:tcPr>
          <w:p w14:paraId="7D54B418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Sleep Apnea</w:t>
            </w:r>
          </w:p>
        </w:tc>
        <w:tc>
          <w:tcPr>
            <w:tcW w:w="1969" w:type="dxa"/>
            <w:vAlign w:val="center"/>
            <w:hideMark/>
          </w:tcPr>
          <w:p w14:paraId="358DE997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Peripheral Vascular Disease</w:t>
            </w:r>
          </w:p>
        </w:tc>
      </w:tr>
      <w:tr w:rsidR="0065345D" w:rsidRPr="0065345D" w14:paraId="784ED617" w14:textId="77777777" w:rsidTr="00F96D8E">
        <w:trPr>
          <w:trHeight w:val="422"/>
        </w:trPr>
        <w:tc>
          <w:tcPr>
            <w:tcW w:w="2448" w:type="dxa"/>
            <w:vAlign w:val="center"/>
            <w:hideMark/>
          </w:tcPr>
          <w:p w14:paraId="632A8640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Spinal Stenosis</w:t>
            </w:r>
          </w:p>
        </w:tc>
        <w:tc>
          <w:tcPr>
            <w:tcW w:w="2528" w:type="dxa"/>
            <w:vAlign w:val="center"/>
            <w:hideMark/>
          </w:tcPr>
          <w:p w14:paraId="716D21C9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Hemophilia</w:t>
            </w:r>
          </w:p>
        </w:tc>
        <w:tc>
          <w:tcPr>
            <w:tcW w:w="2269" w:type="dxa"/>
            <w:vAlign w:val="center"/>
            <w:hideMark/>
          </w:tcPr>
          <w:p w14:paraId="02B60260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Systemic Lupus Erythematosus</w:t>
            </w:r>
          </w:p>
        </w:tc>
        <w:tc>
          <w:tcPr>
            <w:tcW w:w="1969" w:type="dxa"/>
            <w:vAlign w:val="center"/>
            <w:hideMark/>
          </w:tcPr>
          <w:p w14:paraId="1B85D526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Hepatitis B</w:t>
            </w:r>
          </w:p>
        </w:tc>
      </w:tr>
      <w:tr w:rsidR="0065345D" w:rsidRPr="0065345D" w14:paraId="4401D147" w14:textId="77777777" w:rsidTr="00F96D8E">
        <w:trPr>
          <w:trHeight w:val="625"/>
        </w:trPr>
        <w:tc>
          <w:tcPr>
            <w:tcW w:w="2448" w:type="dxa"/>
            <w:vAlign w:val="center"/>
            <w:hideMark/>
          </w:tcPr>
          <w:p w14:paraId="0378258C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Hepatitis C</w:t>
            </w:r>
          </w:p>
        </w:tc>
        <w:tc>
          <w:tcPr>
            <w:tcW w:w="2528" w:type="dxa"/>
            <w:vAlign w:val="center"/>
            <w:hideMark/>
          </w:tcPr>
          <w:p w14:paraId="334522A2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Transplant, Major Organ (heart, valve, lung, kidney)</w:t>
            </w:r>
          </w:p>
        </w:tc>
        <w:tc>
          <w:tcPr>
            <w:tcW w:w="2269" w:type="dxa"/>
            <w:vAlign w:val="center"/>
            <w:hideMark/>
          </w:tcPr>
          <w:p w14:paraId="7E4E7238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Rheumatoid arthritis</w:t>
            </w:r>
          </w:p>
        </w:tc>
        <w:tc>
          <w:tcPr>
            <w:tcW w:w="1969" w:type="dxa"/>
            <w:vAlign w:val="center"/>
            <w:hideMark/>
          </w:tcPr>
          <w:p w14:paraId="2280D897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BMI&gt;37</w:t>
            </w:r>
          </w:p>
        </w:tc>
      </w:tr>
      <w:tr w:rsidR="0065345D" w:rsidRPr="0065345D" w14:paraId="4637CB85" w14:textId="77777777" w:rsidTr="00F96D8E">
        <w:trPr>
          <w:trHeight w:val="858"/>
        </w:trPr>
        <w:tc>
          <w:tcPr>
            <w:tcW w:w="2448" w:type="dxa"/>
            <w:vAlign w:val="center"/>
            <w:hideMark/>
          </w:tcPr>
          <w:p w14:paraId="14C66205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Loss of Hearing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  <w:hideMark/>
          </w:tcPr>
          <w:p w14:paraId="19AB0966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Sarcoidosis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Align w:val="center"/>
            <w:hideMark/>
          </w:tcPr>
          <w:p w14:paraId="51944EA4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Glaucoma</w:t>
            </w:r>
          </w:p>
        </w:tc>
        <w:tc>
          <w:tcPr>
            <w:tcW w:w="1969" w:type="dxa"/>
            <w:vAlign w:val="center"/>
            <w:hideMark/>
          </w:tcPr>
          <w:p w14:paraId="4199D972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Pulmonary Fibrosis</w:t>
            </w:r>
          </w:p>
        </w:tc>
      </w:tr>
      <w:tr w:rsidR="0065345D" w:rsidRPr="0065345D" w14:paraId="2709BB1B" w14:textId="77777777" w:rsidTr="00F96D8E">
        <w:trPr>
          <w:trHeight w:val="625"/>
        </w:trPr>
        <w:tc>
          <w:tcPr>
            <w:tcW w:w="2448" w:type="dxa"/>
            <w:vAlign w:val="center"/>
            <w:hideMark/>
          </w:tcPr>
          <w:p w14:paraId="658796BD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Inflammatory Bowel Diseases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  <w:hideMark/>
          </w:tcPr>
          <w:p w14:paraId="1DAEC04E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Idopathic Thrombocytopenia Purpura</w:t>
            </w:r>
          </w:p>
        </w:tc>
        <w:tc>
          <w:tcPr>
            <w:tcW w:w="2269" w:type="dxa"/>
            <w:vAlign w:val="center"/>
            <w:hideMark/>
          </w:tcPr>
          <w:p w14:paraId="54143C8A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Deep Vein Thrombosis</w:t>
            </w:r>
          </w:p>
        </w:tc>
        <w:tc>
          <w:tcPr>
            <w:tcW w:w="1969" w:type="dxa"/>
            <w:vAlign w:val="center"/>
            <w:hideMark/>
          </w:tcPr>
          <w:p w14:paraId="2763498F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Severe Diabetes mellitus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</w:tr>
      <w:tr w:rsidR="0065345D" w:rsidRPr="0065345D" w14:paraId="70D9362A" w14:textId="77777777" w:rsidTr="00F96D8E">
        <w:trPr>
          <w:trHeight w:val="369"/>
        </w:trPr>
        <w:tc>
          <w:tcPr>
            <w:tcW w:w="2448" w:type="dxa"/>
            <w:vAlign w:val="center"/>
          </w:tcPr>
          <w:p w14:paraId="3B5BD193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Chronic Kidney Diseases</w:t>
            </w:r>
            <w:r w:rsidRPr="0065345D" w:rsidDel="00E8480F">
              <w:rPr>
                <w:rFonts w:ascii="VAG Rounded Std Thin" w:hAnsi="VAG Rounded Std Thin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</w:tcPr>
          <w:p w14:paraId="4C83DB47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  <w:r w:rsidRPr="0065345D">
              <w:rPr>
                <w:rFonts w:ascii="VAG Rounded Std Thin" w:hAnsi="VAG Rounded Std Thin" w:cs="Arial"/>
                <w:sz w:val="20"/>
                <w:szCs w:val="20"/>
              </w:rPr>
              <w:t>Epilepsy</w:t>
            </w:r>
          </w:p>
        </w:tc>
        <w:tc>
          <w:tcPr>
            <w:tcW w:w="2269" w:type="dxa"/>
            <w:vAlign w:val="center"/>
          </w:tcPr>
          <w:p w14:paraId="79801BB0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42B33A87" w14:textId="77777777" w:rsidR="0065345D" w:rsidRPr="0065345D" w:rsidRDefault="0065345D" w:rsidP="00F96D8E">
            <w:pPr>
              <w:ind w:left="29"/>
              <w:rPr>
                <w:rFonts w:ascii="VAG Rounded Std Thin" w:hAnsi="VAG Rounded Std Thin" w:cs="Arial"/>
                <w:sz w:val="20"/>
                <w:szCs w:val="20"/>
              </w:rPr>
            </w:pPr>
          </w:p>
        </w:tc>
      </w:tr>
    </w:tbl>
    <w:p w14:paraId="1E991316" w14:textId="77777777" w:rsidR="0065345D" w:rsidRPr="0065345D" w:rsidRDefault="0065345D" w:rsidP="0065345D">
      <w:pPr>
        <w:ind w:left="0"/>
        <w:rPr>
          <w:rFonts w:ascii="VAG Rounded Std Thin" w:eastAsia="Times New Roman" w:hAnsi="VAG Rounded Std Thin" w:cs="Segoe UI"/>
          <w:sz w:val="20"/>
          <w:szCs w:val="20"/>
          <w:u w:val="single"/>
        </w:rPr>
      </w:pPr>
    </w:p>
    <w:p w14:paraId="3F4F75B5" w14:textId="77777777" w:rsidR="00812BD1" w:rsidRPr="0065345D" w:rsidRDefault="00812BD1">
      <w:pPr>
        <w:rPr>
          <w:rFonts w:ascii="VAG Rounded Std Thin" w:hAnsi="VAG Rounded Std Thin"/>
          <w:sz w:val="20"/>
          <w:szCs w:val="20"/>
        </w:rPr>
      </w:pPr>
    </w:p>
    <w:sectPr w:rsidR="00812BD1" w:rsidRPr="0065345D" w:rsidSect="006439FF">
      <w:headerReference w:type="default" r:id="rId7"/>
      <w:footerReference w:type="default" r:id="rId8"/>
      <w:pgSz w:w="11906" w:h="16838" w:code="9"/>
      <w:pgMar w:top="720" w:right="720" w:bottom="720" w:left="720" w:header="283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FBD8" w14:textId="77777777" w:rsidR="00E97B68" w:rsidRDefault="00E97B68">
      <w:r>
        <w:separator/>
      </w:r>
    </w:p>
  </w:endnote>
  <w:endnote w:type="continuationSeparator" w:id="0">
    <w:p w14:paraId="73B8D52E" w14:textId="77777777" w:rsidR="00E97B68" w:rsidRDefault="00E9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Std Thin">
    <w:panose1 w:val="020F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8EA9" w14:textId="77777777" w:rsidR="00B45D69" w:rsidRDefault="007A3C9C">
    <w:pPr>
      <w:pStyle w:val="Footer"/>
      <w:jc w:val="center"/>
    </w:pPr>
  </w:p>
  <w:p w14:paraId="709EAA6E" w14:textId="77777777" w:rsidR="00B45D69" w:rsidRDefault="007A3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74B3" w14:textId="77777777" w:rsidR="00E97B68" w:rsidRDefault="00E97B68">
      <w:r>
        <w:separator/>
      </w:r>
    </w:p>
  </w:footnote>
  <w:footnote w:type="continuationSeparator" w:id="0">
    <w:p w14:paraId="0A98FD58" w14:textId="77777777" w:rsidR="00E97B68" w:rsidRDefault="00E9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F1C8" w14:textId="77777777" w:rsidR="00B45D69" w:rsidRDefault="0065345D" w:rsidP="00A634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83940" wp14:editId="54DAB052">
          <wp:simplePos x="0" y="0"/>
          <wp:positionH relativeFrom="column">
            <wp:posOffset>4610100</wp:posOffset>
          </wp:positionH>
          <wp:positionV relativeFrom="paragraph">
            <wp:posOffset>10795</wp:posOffset>
          </wp:positionV>
          <wp:extent cx="4993420" cy="735965"/>
          <wp:effectExtent l="0" t="0" r="0" b="698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3" name="Picture 2" descr="HEADER POLICY SCHEDULE - H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POLICY SCHEDULE - H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67"/>
                  <a:stretch/>
                </pic:blipFill>
                <pic:spPr bwMode="auto">
                  <a:xfrm>
                    <a:off x="0" y="0"/>
                    <a:ext cx="4993420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81F"/>
    <w:multiLevelType w:val="hybridMultilevel"/>
    <w:tmpl w:val="27901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CB"/>
    <w:multiLevelType w:val="hybridMultilevel"/>
    <w:tmpl w:val="E9E8F650"/>
    <w:lvl w:ilvl="0" w:tplc="23FA79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3ED"/>
    <w:multiLevelType w:val="hybridMultilevel"/>
    <w:tmpl w:val="3E3026D0"/>
    <w:lvl w:ilvl="0" w:tplc="703AF8B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66" w:hanging="360"/>
      </w:pPr>
    </w:lvl>
    <w:lvl w:ilvl="2" w:tplc="4009001B" w:tentative="1">
      <w:start w:val="1"/>
      <w:numFmt w:val="lowerRoman"/>
      <w:lvlText w:val="%3."/>
      <w:lvlJc w:val="right"/>
      <w:pPr>
        <w:ind w:left="1886" w:hanging="180"/>
      </w:pPr>
    </w:lvl>
    <w:lvl w:ilvl="3" w:tplc="4009000F" w:tentative="1">
      <w:start w:val="1"/>
      <w:numFmt w:val="decimal"/>
      <w:lvlText w:val="%4."/>
      <w:lvlJc w:val="left"/>
      <w:pPr>
        <w:ind w:left="2606" w:hanging="360"/>
      </w:pPr>
    </w:lvl>
    <w:lvl w:ilvl="4" w:tplc="40090019" w:tentative="1">
      <w:start w:val="1"/>
      <w:numFmt w:val="lowerLetter"/>
      <w:lvlText w:val="%5."/>
      <w:lvlJc w:val="left"/>
      <w:pPr>
        <w:ind w:left="3326" w:hanging="360"/>
      </w:pPr>
    </w:lvl>
    <w:lvl w:ilvl="5" w:tplc="4009001B" w:tentative="1">
      <w:start w:val="1"/>
      <w:numFmt w:val="lowerRoman"/>
      <w:lvlText w:val="%6."/>
      <w:lvlJc w:val="right"/>
      <w:pPr>
        <w:ind w:left="4046" w:hanging="180"/>
      </w:pPr>
    </w:lvl>
    <w:lvl w:ilvl="6" w:tplc="4009000F" w:tentative="1">
      <w:start w:val="1"/>
      <w:numFmt w:val="decimal"/>
      <w:lvlText w:val="%7."/>
      <w:lvlJc w:val="left"/>
      <w:pPr>
        <w:ind w:left="4766" w:hanging="360"/>
      </w:pPr>
    </w:lvl>
    <w:lvl w:ilvl="7" w:tplc="40090019" w:tentative="1">
      <w:start w:val="1"/>
      <w:numFmt w:val="lowerLetter"/>
      <w:lvlText w:val="%8."/>
      <w:lvlJc w:val="left"/>
      <w:pPr>
        <w:ind w:left="5486" w:hanging="360"/>
      </w:pPr>
    </w:lvl>
    <w:lvl w:ilvl="8" w:tplc="40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56B7927"/>
    <w:multiLevelType w:val="hybridMultilevel"/>
    <w:tmpl w:val="256C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316D4"/>
    <w:multiLevelType w:val="hybridMultilevel"/>
    <w:tmpl w:val="F3A0F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B68B6"/>
    <w:multiLevelType w:val="hybridMultilevel"/>
    <w:tmpl w:val="ADA668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D"/>
    <w:rsid w:val="003E524F"/>
    <w:rsid w:val="00563C4C"/>
    <w:rsid w:val="00605459"/>
    <w:rsid w:val="0065345D"/>
    <w:rsid w:val="007324C6"/>
    <w:rsid w:val="00807DDC"/>
    <w:rsid w:val="00812BD1"/>
    <w:rsid w:val="00A26185"/>
    <w:rsid w:val="00D612EB"/>
    <w:rsid w:val="00D8768D"/>
    <w:rsid w:val="00E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B71B"/>
  <w15:chartTrackingRefBased/>
  <w15:docId w15:val="{32B13E08-6BFD-4438-BC57-CB91457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5D"/>
    <w:pPr>
      <w:spacing w:after="0" w:line="240" w:lineRule="auto"/>
      <w:ind w:left="8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Char Char,List Paragraph1,b1,Number_1,SGLText List Paragraph,new,List Paragraph11,List Paragraph2,Colorful List - Accent 11,Normal Sentence,ListPar1,Figure_name,list1,*Body 1,b-heading 1/heading 2,b14,b-heading,BD,Report Pa"/>
    <w:basedOn w:val="Normal"/>
    <w:link w:val="ListParagraphChar"/>
    <w:uiPriority w:val="34"/>
    <w:qFormat/>
    <w:rsid w:val="00653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45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45D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 Paragraph Char Char Char,List Paragraph1 Char,b1 Char,Number_1 Char,SGLText List Paragraph Char,new Char,List Paragraph11 Char,List Paragraph2 Char,Colorful List - Accent 11 Char,Normal Sentence Char,ListPar1 Char,list1 Char"/>
    <w:link w:val="ListParagraph"/>
    <w:uiPriority w:val="34"/>
    <w:qFormat/>
    <w:locked/>
    <w:rsid w:val="0065345D"/>
    <w:rPr>
      <w:rFonts w:ascii="Calibri" w:eastAsia="Calibri" w:hAnsi="Calibri" w:cs="Times New Roman"/>
      <w:lang w:val="en-US"/>
    </w:rPr>
  </w:style>
  <w:style w:type="paragraph" w:customStyle="1" w:styleId="xxxxxxxmsonormal">
    <w:name w:val="x_xxxxxxmsonormal"/>
    <w:basedOn w:val="Normal"/>
    <w:rsid w:val="0065345D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5345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Ajay Upadhyay/RGI/Underwriting</dc:creator>
  <cp:keywords/>
  <dc:description/>
  <cp:lastModifiedBy>Manik Aggarwal/DIGITAL ALLNCE</cp:lastModifiedBy>
  <cp:revision>2</cp:revision>
  <cp:lastPrinted>2024-09-13T15:23:00Z</cp:lastPrinted>
  <dcterms:created xsi:type="dcterms:W3CDTF">2025-08-23T13:36:00Z</dcterms:created>
  <dcterms:modified xsi:type="dcterms:W3CDTF">2025-08-23T13:36:00Z</dcterms:modified>
</cp:coreProperties>
</file>